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EF" w:rsidRDefault="008F7A1E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es-ES"/>
        </w:rPr>
      </w:pPr>
      <w:r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es-ES"/>
        </w:rPr>
        <w:t xml:space="preserve">Puerto de la Cruz </w:t>
      </w:r>
      <w:r w:rsidR="00E746D9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es-ES"/>
        </w:rPr>
        <w:t xml:space="preserve">impulsa ‘Desaprendiendo hábitos para generar salud’ </w:t>
      </w:r>
      <w:bookmarkStart w:id="0" w:name="_GoBack"/>
      <w:bookmarkEnd w:id="0"/>
      <w:r w:rsidR="00B803D6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es-ES"/>
        </w:rPr>
        <w:t xml:space="preserve">y ‘Enróllate Saludablemente’ </w:t>
      </w:r>
      <w:r w:rsidR="00E746D9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es-ES"/>
        </w:rPr>
        <w:t xml:space="preserve">en </w:t>
      </w:r>
      <w:r w:rsidR="00B803D6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es-ES"/>
        </w:rPr>
        <w:t xml:space="preserve">centros escolares </w:t>
      </w:r>
      <w:r w:rsidR="00E746D9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es-ES"/>
        </w:rPr>
        <w:t>del municipio</w:t>
      </w:r>
    </w:p>
    <w:p w:rsidR="00096D50" w:rsidRDefault="00096D5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es-ES"/>
        </w:rPr>
      </w:pPr>
    </w:p>
    <w:p w:rsidR="005F78EF" w:rsidRDefault="00D2178F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zh-TW" w:bidi="he-IL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es-ES_tradnl" w:eastAsia="zh-TW" w:bidi="he-IL"/>
        </w:rPr>
        <w:t xml:space="preserve">Del </w:t>
      </w:r>
      <w:r w:rsidR="00E746D9">
        <w:rPr>
          <w:rFonts w:ascii="Times New Roman" w:eastAsia="MS Mincho" w:hAnsi="Times New Roman" w:cs="Times New Roman"/>
          <w:b/>
          <w:bCs/>
          <w:sz w:val="28"/>
          <w:szCs w:val="28"/>
          <w:lang w:val="es-ES_tradnl" w:eastAsia="zh-TW" w:bidi="he-IL"/>
        </w:rPr>
        <w:t>proyecto se benefician más de 140 chicos y chicas dentro del IV plan municipal en drogodependencias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es-ES_tradnl" w:eastAsia="zh-TW" w:bidi="he-IL"/>
        </w:rPr>
        <w:t xml:space="preserve"> </w:t>
      </w:r>
    </w:p>
    <w:p w:rsidR="005F78EF" w:rsidRDefault="005F78EF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es-ES"/>
        </w:rPr>
      </w:pPr>
    </w:p>
    <w:p w:rsidR="00E746D9" w:rsidRDefault="0085180D" w:rsidP="00E746D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es-ES"/>
        </w:rPr>
        <w:t xml:space="preserve">Puerto de la Cruz, </w:t>
      </w:r>
      <w:r w:rsidR="006914BE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es-ES"/>
        </w:rPr>
        <w:t>12</w:t>
      </w:r>
      <w:r w:rsidR="006B1B5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es-ES"/>
        </w:rPr>
        <w:t xml:space="preserve"> de </w:t>
      </w:r>
      <w:r w:rsidR="00E73D53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es-ES"/>
        </w:rPr>
        <w:t>noviembre</w:t>
      </w:r>
      <w:r w:rsidR="00D2178F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es-ES"/>
        </w:rPr>
        <w:t xml:space="preserve"> de 2020</w:t>
      </w:r>
      <w:r w:rsidR="006B1B5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es-ES"/>
        </w:rPr>
        <w:t>.-</w:t>
      </w:r>
      <w:r w:rsidR="006B1B58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Puerto de la Cruz sigue impulsando acciones que ofrecen herramientas útiles a los jóvenes del municipio para desarrollar comportamientos más saludables en la sociedad portuense.</w:t>
      </w:r>
    </w:p>
    <w:p w:rsidR="00E746D9" w:rsidRDefault="00E746D9" w:rsidP="00E746D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</w:pPr>
    </w:p>
    <w:p w:rsidR="00E746D9" w:rsidRDefault="00E746D9" w:rsidP="00E746D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</w:pP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Con la llegada de Alumnado de Grado de Trabajo Social de la Universidad de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L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a Laguna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,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desde el Servicio Munici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pal en Prevención de Adicciones han comenzado 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las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intervenciones en la ludoteca E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l Caracol en el barrio de la Vera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a través del Proyecto </w:t>
      </w:r>
      <w:r w:rsidR="00B803D6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es-ES"/>
        </w:rPr>
        <w:t xml:space="preserve">Enróllate Saludablemente. </w:t>
      </w:r>
      <w:proofErr w:type="gramStart"/>
      <w:r w:rsidR="00B803D6" w:rsidRPr="00B803D6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Además</w:t>
      </w:r>
      <w:proofErr w:type="gramEnd"/>
      <w:r w:rsidR="00B803D6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es-ES"/>
        </w:rPr>
        <w:t xml:space="preserve"> Desaprendiendo hábitos para general salud </w:t>
      </w:r>
      <w:r w:rsidR="00B803D6" w:rsidRPr="00B803D6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se desarrollará</w:t>
      </w:r>
      <w:r w:rsidRPr="00B803D6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en el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IES Agustín de Bet</w:t>
      </w:r>
      <w:r w:rsidR="008266BC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h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encourt, IES María Pérez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Trujillo y el IES Tele</w:t>
      </w:r>
      <w:r w:rsidR="008266BC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s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foro Bravo.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Asi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mismo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,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se </w:t>
      </w:r>
      <w:r w:rsidR="00B803D6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realizarán intervenciones en p</w:t>
      </w:r>
      <w:r w:rsidR="00B803D6"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revención de las adi</w:t>
      </w:r>
      <w:r w:rsidR="00B803D6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cciones con 1, 2 y 3 de la ESO</w:t>
      </w:r>
      <w:r w:rsidR="00B803D6"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en el IES Telésforo Bravo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.</w:t>
      </w:r>
    </w:p>
    <w:p w:rsidR="00E746D9" w:rsidRDefault="00E746D9" w:rsidP="00E746D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</w:pPr>
    </w:p>
    <w:p w:rsidR="00E746D9" w:rsidRPr="00E746D9" w:rsidRDefault="00E746D9" w:rsidP="00E746D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</w:pP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El Concejal del área Jonás Santana quiere agradecer a los equipos directivo</w:t>
      </w:r>
      <w:r w:rsidR="006C6868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s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y profesorado de los</w:t>
      </w:r>
      <w:r w:rsidR="006C6868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centros e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ducativos</w:t>
      </w:r>
      <w:r w:rsidR="00E548CB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,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así como a </w:t>
      </w:r>
      <w:r w:rsidR="008266BC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las educadoras de la l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udoteca </w:t>
      </w:r>
      <w:r w:rsidR="008266BC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El Caracol</w:t>
      </w:r>
      <w:r w:rsidR="006C6868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,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la disponibilidad y facilidades que dan para ejecutar de manera presencial estas accion</w:t>
      </w:r>
      <w:r w:rsidR="008266BC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es, con todas las precauciones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que la sit</w:t>
      </w:r>
      <w:r w:rsidR="00F30E74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uación por la pandemia requiere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.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“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Lo que pretendemos desde el Servicio Municipal de Prevención a las Adicciones es proporcionar información sobre estilos de vida saludable favoreciendo hábitos y rutin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as a través del juego, mejorar 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las condiciones físicas y pedagógicas que permitan un buen ambiente físico y psicológico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”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. </w:t>
      </w:r>
    </w:p>
    <w:p w:rsidR="00E746D9" w:rsidRPr="00E746D9" w:rsidRDefault="00E746D9" w:rsidP="00E746D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</w:pPr>
    </w:p>
    <w:p w:rsidR="008266BC" w:rsidRDefault="008266BC" w:rsidP="008266BC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</w:pP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El Proyecto </w:t>
      </w:r>
      <w:r w:rsidRPr="00E548C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es-ES"/>
        </w:rPr>
        <w:t>Desaprendiendo Hábitos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va dirigido a población adolescente siendo un proyecto de Prevenci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ón Indicada al trabajar más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desde las necesidades sentidas de ellos, siendo las actividades más específicas y ajustadas a su realidad.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La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s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figura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s clave son las educadoras en la l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udoteca y los tutores y tutoras implicados en la acción, ya que ellos y ellas le dan continuidad en el tiempo para que no se convierta en una actividad de carácter puntual.</w:t>
      </w:r>
    </w:p>
    <w:p w:rsidR="008266BC" w:rsidRDefault="008266BC" w:rsidP="008266BC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</w:pPr>
    </w:p>
    <w:p w:rsidR="00B803D6" w:rsidRDefault="00B803D6" w:rsidP="00B803D6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La l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udoteca es un agente de socialización primario dónde interactúan niños/as, profesionales y padres, por lo que se convierte en el medio idóneo para la implantación de programas preventivos y de promoción de la salud. Por ello,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se hace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necesario trabajar desde éste ámbito para poder llegar a un mayor número de niños/as y por consiguiente llev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ar a cabo un trabajo más eficaz, donde además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se tiene previsto trabajar con los padres y las madres de los niños y niñas, con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un nuevo proyecto denominado ‘Desayuno con Palabras’.</w:t>
      </w:r>
    </w:p>
    <w:p w:rsidR="00B803D6" w:rsidRPr="00E746D9" w:rsidRDefault="00B803D6" w:rsidP="00B803D6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</w:pPr>
    </w:p>
    <w:p w:rsidR="00E746D9" w:rsidRDefault="00E746D9" w:rsidP="00E746D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</w:pP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Aunque los proyectos tienen unas características determinadas en función del colectivo 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lastRenderedPageBreak/>
        <w:t>al que va dirigido</w:t>
      </w:r>
      <w:r w:rsidR="00B803D6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,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la</w:t>
      </w:r>
      <w:r w:rsidR="00B803D6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finalidad de ambos es similar que se traduce en 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aumentar la edad de inicio en el consumo de drogas y detectar p</w:t>
      </w:r>
      <w:r w:rsidR="00B803D6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recozmente conductas adictivas 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a través de aprendizajes significativos</w:t>
      </w:r>
      <w:r w:rsidR="00B803D6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, donde se promueve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el </w:t>
      </w:r>
      <w:r w:rsidR="00E548CB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autocontrol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y la gestión emocional para fomentar entre los más jóvenes y los adolescentes conductas saludables y asertivas.</w:t>
      </w:r>
    </w:p>
    <w:p w:rsidR="00E746D9" w:rsidRPr="00E746D9" w:rsidRDefault="00E746D9" w:rsidP="00E746D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</w:pPr>
    </w:p>
    <w:p w:rsidR="00E746D9" w:rsidRDefault="00E746D9" w:rsidP="00E746D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C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on estos proyectos se beneficiaran más de 140 chicos y chicas, distribuidos en 6 grupos, con actividades semanal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es, iniciativas que se 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engloban dentro de las estrategias de prevención del </w:t>
      </w:r>
      <w:proofErr w:type="gramStart"/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IV  Plan</w:t>
      </w:r>
      <w:proofErr w:type="gramEnd"/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 xml:space="preserve"> Municipal en Drogodependencias y otras adicciones, siendo de prevención indicada por las características de los grupos de inte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r</w:t>
      </w:r>
      <w:r w:rsidRPr="00E746D9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vención.</w:t>
      </w:r>
    </w:p>
    <w:p w:rsidR="00E746D9" w:rsidRPr="00E746D9" w:rsidRDefault="00E746D9" w:rsidP="00E746D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</w:pPr>
    </w:p>
    <w:p w:rsidR="008266BC" w:rsidRDefault="008266BC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</w:pPr>
    </w:p>
    <w:sectPr w:rsidR="008266BC">
      <w:headerReference w:type="default" r:id="rId6"/>
      <w:footerReference w:type="default" r:id="rId7"/>
      <w:pgSz w:w="11906" w:h="16838"/>
      <w:pgMar w:top="1985" w:right="1701" w:bottom="1985" w:left="1701" w:header="708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53" w:rsidRDefault="00B05E53">
      <w:pPr>
        <w:spacing w:after="0" w:line="240" w:lineRule="auto"/>
      </w:pPr>
      <w:r>
        <w:separator/>
      </w:r>
    </w:p>
  </w:endnote>
  <w:endnote w:type="continuationSeparator" w:id="0">
    <w:p w:rsidR="00B05E53" w:rsidRDefault="00B0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EF" w:rsidRDefault="006B1B58">
    <w:pPr>
      <w:pStyle w:val="Piedepgina1"/>
    </w:pPr>
    <w:r>
      <w:rPr>
        <w:noProof/>
        <w:lang w:eastAsia="es-ES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4015740</wp:posOffset>
          </wp:positionH>
          <wp:positionV relativeFrom="paragraph">
            <wp:posOffset>-370840</wp:posOffset>
          </wp:positionV>
          <wp:extent cx="1951355" cy="84264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78EF" w:rsidRDefault="006B1B58">
    <w:pPr>
      <w:pStyle w:val="Piedepgina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53" w:rsidRDefault="00B05E53">
      <w:pPr>
        <w:spacing w:after="0" w:line="240" w:lineRule="auto"/>
      </w:pPr>
      <w:r>
        <w:separator/>
      </w:r>
    </w:p>
  </w:footnote>
  <w:footnote w:type="continuationSeparator" w:id="0">
    <w:p w:rsidR="00B05E53" w:rsidRDefault="00B0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EF" w:rsidRDefault="006B1B58">
    <w:pPr>
      <w:pStyle w:val="Encabezado1"/>
    </w:pPr>
    <w:r>
      <w:rPr>
        <w:noProof/>
        <w:lang w:eastAsia="es-ES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-144780</wp:posOffset>
          </wp:positionV>
          <wp:extent cx="2046605" cy="83820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041" b="7958"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2177415</wp:posOffset>
          </wp:positionH>
          <wp:positionV relativeFrom="paragraph">
            <wp:posOffset>61595</wp:posOffset>
          </wp:positionV>
          <wp:extent cx="3124200" cy="37401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9144" b="33113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EF"/>
    <w:rsid w:val="000435EB"/>
    <w:rsid w:val="00096D50"/>
    <w:rsid w:val="00096F79"/>
    <w:rsid w:val="00115F5B"/>
    <w:rsid w:val="00117209"/>
    <w:rsid w:val="00170E51"/>
    <w:rsid w:val="00241675"/>
    <w:rsid w:val="00264846"/>
    <w:rsid w:val="002A68C3"/>
    <w:rsid w:val="00301285"/>
    <w:rsid w:val="00305637"/>
    <w:rsid w:val="0030631A"/>
    <w:rsid w:val="00314469"/>
    <w:rsid w:val="00317564"/>
    <w:rsid w:val="00341449"/>
    <w:rsid w:val="003510F8"/>
    <w:rsid w:val="00355E2A"/>
    <w:rsid w:val="003713B7"/>
    <w:rsid w:val="00372D89"/>
    <w:rsid w:val="00385841"/>
    <w:rsid w:val="003C4475"/>
    <w:rsid w:val="003F7F4B"/>
    <w:rsid w:val="00420567"/>
    <w:rsid w:val="0047190C"/>
    <w:rsid w:val="0048334B"/>
    <w:rsid w:val="005D71AF"/>
    <w:rsid w:val="005F78EF"/>
    <w:rsid w:val="006569AC"/>
    <w:rsid w:val="006914BE"/>
    <w:rsid w:val="006B1B58"/>
    <w:rsid w:val="006B490C"/>
    <w:rsid w:val="006C598B"/>
    <w:rsid w:val="006C6868"/>
    <w:rsid w:val="006E4B3C"/>
    <w:rsid w:val="00705E55"/>
    <w:rsid w:val="00711155"/>
    <w:rsid w:val="008266BC"/>
    <w:rsid w:val="0085180D"/>
    <w:rsid w:val="00867697"/>
    <w:rsid w:val="00896F77"/>
    <w:rsid w:val="008B49A4"/>
    <w:rsid w:val="008F7A1E"/>
    <w:rsid w:val="009569F6"/>
    <w:rsid w:val="00971335"/>
    <w:rsid w:val="009C351D"/>
    <w:rsid w:val="00A43058"/>
    <w:rsid w:val="00A8571A"/>
    <w:rsid w:val="00AA0181"/>
    <w:rsid w:val="00AE408B"/>
    <w:rsid w:val="00B05E53"/>
    <w:rsid w:val="00B11FBD"/>
    <w:rsid w:val="00B803D6"/>
    <w:rsid w:val="00B95584"/>
    <w:rsid w:val="00BD3931"/>
    <w:rsid w:val="00BE6199"/>
    <w:rsid w:val="00C45E0E"/>
    <w:rsid w:val="00C7672D"/>
    <w:rsid w:val="00C8773C"/>
    <w:rsid w:val="00C936AF"/>
    <w:rsid w:val="00C95D01"/>
    <w:rsid w:val="00CE7C9C"/>
    <w:rsid w:val="00D2178F"/>
    <w:rsid w:val="00D221F0"/>
    <w:rsid w:val="00D24B54"/>
    <w:rsid w:val="00D566FA"/>
    <w:rsid w:val="00DB07E3"/>
    <w:rsid w:val="00DB7D3C"/>
    <w:rsid w:val="00DC0C13"/>
    <w:rsid w:val="00E009F2"/>
    <w:rsid w:val="00E12855"/>
    <w:rsid w:val="00E548CB"/>
    <w:rsid w:val="00E611AC"/>
    <w:rsid w:val="00E73D53"/>
    <w:rsid w:val="00E746D9"/>
    <w:rsid w:val="00EC45FC"/>
    <w:rsid w:val="00ED3F83"/>
    <w:rsid w:val="00EE679F"/>
    <w:rsid w:val="00F00C71"/>
    <w:rsid w:val="00F30E74"/>
    <w:rsid w:val="00F4416F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6AB0"/>
  <w15:docId w15:val="{BFF2D7AA-55AC-4E4E-B171-72D76439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9B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qFormat/>
    <w:rsid w:val="00756161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75616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80E9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rsid w:val="00DD4DAC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rsid w:val="00DD4DAC"/>
    <w:pPr>
      <w:spacing w:after="140" w:line="276" w:lineRule="auto"/>
    </w:pPr>
  </w:style>
  <w:style w:type="paragraph" w:styleId="Lista">
    <w:name w:val="List"/>
    <w:basedOn w:val="Textoindependiente"/>
    <w:rsid w:val="00DD4DAC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DD4DAC"/>
    <w:pPr>
      <w:suppressLineNumbers/>
    </w:pPr>
  </w:style>
  <w:style w:type="paragraph" w:customStyle="1" w:styleId="Descripcin1">
    <w:name w:val="Descripción1"/>
    <w:basedOn w:val="Normal"/>
    <w:qFormat/>
    <w:rsid w:val="00DD4DA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1">
    <w:name w:val="Encabezado1"/>
    <w:basedOn w:val="Normal"/>
    <w:link w:val="EncabezadoCar"/>
    <w:uiPriority w:val="99"/>
    <w:unhideWhenUsed/>
    <w:qFormat/>
    <w:rsid w:val="0075616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qFormat/>
    <w:rsid w:val="00756161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80E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character" w:styleId="Hipervnculo">
    <w:name w:val="Hyperlink"/>
    <w:basedOn w:val="Fuentedeprrafopredeter"/>
    <w:uiPriority w:val="99"/>
    <w:unhideWhenUsed/>
    <w:rsid w:val="008B4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 Rouvas</dc:creator>
  <dc:description/>
  <cp:lastModifiedBy>Carlos Gustavo Cruz García</cp:lastModifiedBy>
  <cp:revision>9</cp:revision>
  <cp:lastPrinted>2020-11-09T11:48:00Z</cp:lastPrinted>
  <dcterms:created xsi:type="dcterms:W3CDTF">2020-11-11T12:41:00Z</dcterms:created>
  <dcterms:modified xsi:type="dcterms:W3CDTF">2020-11-12T11:06:00Z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